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13F05" w14:textId="77777777" w:rsidR="00A81C73" w:rsidRPr="004064FA" w:rsidRDefault="00A81C73" w:rsidP="004064FA">
      <w:pPr>
        <w:pStyle w:val="a3"/>
        <w:spacing w:before="0" w:beforeAutospacing="0" w:after="0" w:afterAutospacing="0" w:line="480" w:lineRule="auto"/>
        <w:ind w:firstLineChars="200" w:firstLine="482"/>
        <w:jc w:val="center"/>
        <w:rPr>
          <w:color w:val="333333"/>
        </w:rPr>
      </w:pPr>
      <w:bookmarkStart w:id="0" w:name="_GoBack"/>
      <w:r w:rsidRPr="004064FA">
        <w:rPr>
          <w:rStyle w:val="a4"/>
          <w:color w:val="333333"/>
        </w:rPr>
        <w:t>个人税收</w:t>
      </w:r>
      <w:proofErr w:type="gramStart"/>
      <w:r w:rsidRPr="004064FA">
        <w:rPr>
          <w:rStyle w:val="a4"/>
          <w:color w:val="333333"/>
        </w:rPr>
        <w:t>递延型商业</w:t>
      </w:r>
      <w:proofErr w:type="gramEnd"/>
      <w:r w:rsidRPr="004064FA">
        <w:rPr>
          <w:rStyle w:val="a4"/>
          <w:color w:val="333333"/>
        </w:rPr>
        <w:t>养老保险产品开发指引</w:t>
      </w:r>
    </w:p>
    <w:bookmarkEnd w:id="0"/>
    <w:p w14:paraId="1B0B6E92" w14:textId="0AADCD88"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个人税收</w:t>
      </w:r>
      <w:proofErr w:type="gramStart"/>
      <w:r w:rsidRPr="004064FA">
        <w:rPr>
          <w:color w:val="333333"/>
        </w:rPr>
        <w:t>递延型商业</w:t>
      </w:r>
      <w:proofErr w:type="gramEnd"/>
      <w:r w:rsidRPr="004064FA">
        <w:rPr>
          <w:color w:val="333333"/>
        </w:rPr>
        <w:t>养老保险产品（以下</w:t>
      </w:r>
      <w:proofErr w:type="gramStart"/>
      <w:r w:rsidRPr="004064FA">
        <w:rPr>
          <w:color w:val="333333"/>
        </w:rPr>
        <w:t>简称税延养老</w:t>
      </w:r>
      <w:proofErr w:type="gramEnd"/>
      <w:r w:rsidRPr="004064FA">
        <w:rPr>
          <w:color w:val="333333"/>
        </w:rPr>
        <w:t>保险产品）开发指引，是个人税收</w:t>
      </w:r>
      <w:proofErr w:type="gramStart"/>
      <w:r w:rsidRPr="004064FA">
        <w:rPr>
          <w:color w:val="333333"/>
        </w:rPr>
        <w:t>递延型商业</w:t>
      </w:r>
      <w:proofErr w:type="gramEnd"/>
      <w:r w:rsidRPr="004064FA">
        <w:rPr>
          <w:color w:val="333333"/>
        </w:rPr>
        <w:t>养老保险试点期间，保险公司开发</w:t>
      </w:r>
      <w:proofErr w:type="gramStart"/>
      <w:r w:rsidRPr="004064FA">
        <w:rPr>
          <w:color w:val="333333"/>
        </w:rPr>
        <w:t>设计税延养老</w:t>
      </w:r>
      <w:proofErr w:type="gramEnd"/>
      <w:r w:rsidRPr="004064FA">
        <w:rPr>
          <w:color w:val="333333"/>
        </w:rPr>
        <w:t>保险产品的基本要求和统一规范。参与试点的保险公司应按照本指引和相关规定，开发</w:t>
      </w:r>
      <w:proofErr w:type="gramStart"/>
      <w:r w:rsidRPr="004064FA">
        <w:rPr>
          <w:color w:val="333333"/>
        </w:rPr>
        <w:t>设计税延养老</w:t>
      </w:r>
      <w:proofErr w:type="gramEnd"/>
      <w:r w:rsidRPr="004064FA">
        <w:rPr>
          <w:color w:val="333333"/>
        </w:rPr>
        <w:t>保险产品。</w:t>
      </w:r>
    </w:p>
    <w:p w14:paraId="209DA305" w14:textId="48B2A017"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一、设计原则</w:t>
      </w:r>
    </w:p>
    <w:p w14:paraId="5A83B156" w14:textId="07B4695A"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保险公司开发</w:t>
      </w:r>
      <w:proofErr w:type="gramStart"/>
      <w:r w:rsidRPr="004064FA">
        <w:rPr>
          <w:color w:val="333333"/>
        </w:rPr>
        <w:t>设计税延养老</w:t>
      </w:r>
      <w:proofErr w:type="gramEnd"/>
      <w:r w:rsidRPr="004064FA">
        <w:rPr>
          <w:color w:val="333333"/>
        </w:rPr>
        <w:t>保险产品应当以“收益稳健、长期锁定、终身领取、精算平衡”为原则，满足参保人对养老资金安全性、收益性和长期性管理要求。</w:t>
      </w:r>
    </w:p>
    <w:p w14:paraId="093704C4" w14:textId="2F3A50C0"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本指引是保险公司开发</w:t>
      </w:r>
      <w:proofErr w:type="gramStart"/>
      <w:r w:rsidRPr="004064FA">
        <w:rPr>
          <w:color w:val="333333"/>
        </w:rPr>
        <w:t>设计税延养老</w:t>
      </w:r>
      <w:proofErr w:type="gramEnd"/>
      <w:r w:rsidRPr="004064FA">
        <w:rPr>
          <w:color w:val="333333"/>
        </w:rPr>
        <w:t>保险产品的基本保险保障要求，保险公司在开发产品时可以在此基础上，按有利于参保人的原则进一步提高保险保障水平。</w:t>
      </w:r>
    </w:p>
    <w:p w14:paraId="1EBE827C" w14:textId="6B38B249"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二、产品要素</w:t>
      </w:r>
    </w:p>
    <w:p w14:paraId="0DA09A21" w14:textId="791C80DE"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（一）参保人。</w:t>
      </w:r>
    </w:p>
    <w:p w14:paraId="6545979D" w14:textId="5588C9A5"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凡16周岁以上、未达到国家规定退休年龄，且符合《财政部 税务总局 人力资源社会保障部 中国银行保险监督管理委员会 证监会关于开展个人税收递延型商业养老保险试点的通知》（财税〔2018〕22号）规定的个人，均可参保税延养老保险产品。</w:t>
      </w:r>
    </w:p>
    <w:p w14:paraId="39D641A5" w14:textId="7BACA8A9"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（二）保险期间。</w:t>
      </w:r>
    </w:p>
    <w:p w14:paraId="6BA12816" w14:textId="29CF66EA"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终身或长期，包括积累期和领取期两个阶段。</w:t>
      </w:r>
    </w:p>
    <w:p w14:paraId="208BC955" w14:textId="14ABDAE1"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（三）交费方式。</w:t>
      </w:r>
    </w:p>
    <w:p w14:paraId="2DB786BD" w14:textId="1FF8A23D"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月交或年交。</w:t>
      </w:r>
    </w:p>
    <w:p w14:paraId="74B8D7B9" w14:textId="2074AFFD"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lastRenderedPageBreak/>
        <w:t>（四）交费期间。</w:t>
      </w:r>
    </w:p>
    <w:p w14:paraId="7238D6F4" w14:textId="37904EBC"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保险合同生效后至参保人达到国家规定退休年龄前。</w:t>
      </w:r>
    </w:p>
    <w:p w14:paraId="099B4D7F" w14:textId="36294343"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（五）积累期和领取期。</w:t>
      </w:r>
    </w:p>
    <w:p w14:paraId="25F8C88C" w14:textId="68062752"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1.积累期，</w:t>
      </w:r>
      <w:proofErr w:type="gramStart"/>
      <w:r w:rsidRPr="004064FA">
        <w:rPr>
          <w:color w:val="333333"/>
        </w:rPr>
        <w:t>是指参保人</w:t>
      </w:r>
      <w:proofErr w:type="gramEnd"/>
      <w:r w:rsidRPr="004064FA">
        <w:rPr>
          <w:color w:val="333333"/>
        </w:rPr>
        <w:t>按照保险合同约定进行养老资金积累的阶段，参保人开始领取养老年金前均为积累期。在产品积累期，保险公司应为参保人购买</w:t>
      </w:r>
      <w:proofErr w:type="gramStart"/>
      <w:r w:rsidRPr="004064FA">
        <w:rPr>
          <w:color w:val="333333"/>
        </w:rPr>
        <w:t>的税延养老</w:t>
      </w:r>
      <w:proofErr w:type="gramEnd"/>
      <w:r w:rsidRPr="004064FA">
        <w:rPr>
          <w:color w:val="333333"/>
        </w:rPr>
        <w:t>保险产品建立产品账户，记录所交保费和资金收益等信息。</w:t>
      </w:r>
    </w:p>
    <w:p w14:paraId="54325A4E" w14:textId="4F1F67A7"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2.领取期，</w:t>
      </w:r>
      <w:proofErr w:type="gramStart"/>
      <w:r w:rsidRPr="004064FA">
        <w:rPr>
          <w:color w:val="333333"/>
        </w:rPr>
        <w:t>是指参保人</w:t>
      </w:r>
      <w:proofErr w:type="gramEnd"/>
      <w:r w:rsidRPr="004064FA">
        <w:rPr>
          <w:color w:val="333333"/>
        </w:rPr>
        <w:t>按照保险合同约定开始领取养老年金的阶段。在产品领取期，保险公司应当根据参保人选择的养老年金领取方式，按照参保时提供的养老年金领取金额表，将参保人在养老年金开始领取日的产品账户价值，转换为每月或每年领取的养老年金，养老年金给付直至参保人身故，或约定的领取期结束。</w:t>
      </w:r>
    </w:p>
    <w:p w14:paraId="2ABF4C10" w14:textId="02D85CF8"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（六）收益类型。</w:t>
      </w:r>
    </w:p>
    <w:p w14:paraId="07D5C09B" w14:textId="41734DC4" w:rsidR="00A81C73" w:rsidRPr="004064FA" w:rsidRDefault="00A81C73" w:rsidP="004064FA">
      <w:pPr>
        <w:pStyle w:val="a3"/>
        <w:spacing w:before="0" w:beforeAutospacing="0" w:after="0" w:afterAutospacing="0" w:line="480" w:lineRule="auto"/>
        <w:ind w:firstLineChars="200" w:firstLine="480"/>
        <w:rPr>
          <w:color w:val="333333"/>
        </w:rPr>
      </w:pPr>
      <w:proofErr w:type="gramStart"/>
      <w:r w:rsidRPr="004064FA">
        <w:rPr>
          <w:color w:val="333333"/>
        </w:rPr>
        <w:t>税延养老</w:t>
      </w:r>
      <w:proofErr w:type="gramEnd"/>
      <w:r w:rsidRPr="004064FA">
        <w:rPr>
          <w:color w:val="333333"/>
        </w:rPr>
        <w:t>保险产品积累期养老资金的收益类型，分为收益确定型、收益保底型、收益浮动型，分别对应A、B、C三类产品。</w:t>
      </w:r>
    </w:p>
    <w:p w14:paraId="2E4AB607" w14:textId="7F7B3078"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1.A类产品，即收益确定型产品，是指在积累期提供确定收益率（年复利）的产品，每月结算一次收益。</w:t>
      </w:r>
    </w:p>
    <w:p w14:paraId="0335FB78" w14:textId="33FF5B63"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B类产品，即收益保底型产品，是指在积累期提供保底收益率（年复利），同时可根据投资情况提供额外收益的产品，每月或每季度结算一次收益。根据结算频率不同，分为B1类产品（每月结算）和B2类产品（每季度结算）。</w:t>
      </w:r>
    </w:p>
    <w:p w14:paraId="48FCE4AA" w14:textId="6661BF1A"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3.C类产品，即收益浮动型产品，是指在积累</w:t>
      </w:r>
      <w:proofErr w:type="gramStart"/>
      <w:r w:rsidRPr="004064FA">
        <w:rPr>
          <w:color w:val="333333"/>
        </w:rPr>
        <w:t>期按照</w:t>
      </w:r>
      <w:proofErr w:type="gramEnd"/>
      <w:r w:rsidRPr="004064FA">
        <w:rPr>
          <w:color w:val="333333"/>
        </w:rPr>
        <w:t>实际投资情况进行结算的产品，至少每周结算一次。</w:t>
      </w:r>
    </w:p>
    <w:p w14:paraId="28DD1ED6" w14:textId="4EED35FD"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lastRenderedPageBreak/>
        <w:t>（七）保险责任。</w:t>
      </w:r>
    </w:p>
    <w:p w14:paraId="45F4B063" w14:textId="7D3D1A2D" w:rsidR="00A81C73" w:rsidRPr="004064FA" w:rsidRDefault="00A81C73" w:rsidP="004064FA">
      <w:pPr>
        <w:pStyle w:val="a3"/>
        <w:spacing w:before="0" w:beforeAutospacing="0" w:after="0" w:afterAutospacing="0" w:line="480" w:lineRule="auto"/>
        <w:ind w:firstLineChars="200" w:firstLine="480"/>
        <w:rPr>
          <w:color w:val="333333"/>
        </w:rPr>
      </w:pPr>
      <w:proofErr w:type="gramStart"/>
      <w:r w:rsidRPr="004064FA">
        <w:rPr>
          <w:color w:val="333333"/>
        </w:rPr>
        <w:t>税延养老</w:t>
      </w:r>
      <w:proofErr w:type="gramEnd"/>
      <w:r w:rsidRPr="004064FA">
        <w:rPr>
          <w:color w:val="333333"/>
        </w:rPr>
        <w:t>保险产品可提供养老年金给付、全残保障和身故保障三项保险责任。</w:t>
      </w:r>
    </w:p>
    <w:p w14:paraId="571FAC17" w14:textId="2C222670"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养老年金给付，</w:t>
      </w:r>
      <w:proofErr w:type="gramStart"/>
      <w:r w:rsidRPr="004064FA">
        <w:rPr>
          <w:color w:val="333333"/>
        </w:rPr>
        <w:t>是指参保人</w:t>
      </w:r>
      <w:proofErr w:type="gramEnd"/>
      <w:r w:rsidRPr="004064FA">
        <w:rPr>
          <w:color w:val="333333"/>
        </w:rPr>
        <w:t>达到国家规定退休年龄或约定的领取年龄（不早于国家规定退休年龄）时，保险公司按照保险合同约定提供终身或长期领取的养老年金，并扣除对应的递延税款。</w:t>
      </w:r>
    </w:p>
    <w:p w14:paraId="7519DE4C" w14:textId="3529545B"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全残保障和身故保障，</w:t>
      </w:r>
      <w:proofErr w:type="gramStart"/>
      <w:r w:rsidRPr="004064FA">
        <w:rPr>
          <w:color w:val="333333"/>
        </w:rPr>
        <w:t>是指参保人</w:t>
      </w:r>
      <w:proofErr w:type="gramEnd"/>
      <w:r w:rsidRPr="004064FA">
        <w:rPr>
          <w:color w:val="333333"/>
        </w:rPr>
        <w:t>发生保险合同约定的全残或身故保险事故的，保险公司一次性给</w:t>
      </w:r>
      <w:proofErr w:type="gramStart"/>
      <w:r w:rsidRPr="004064FA">
        <w:rPr>
          <w:color w:val="333333"/>
        </w:rPr>
        <w:t>付产品</w:t>
      </w:r>
      <w:proofErr w:type="gramEnd"/>
      <w:r w:rsidRPr="004064FA">
        <w:rPr>
          <w:color w:val="333333"/>
        </w:rPr>
        <w:t>账户价值并扣除对应的递延税款，同时根据保险合同约定额外给付保险金。参保人在年满60周岁前且未开始领取养老年金时发生全残或身故的，保险公司一次性给</w:t>
      </w:r>
      <w:proofErr w:type="gramStart"/>
      <w:r w:rsidRPr="004064FA">
        <w:rPr>
          <w:color w:val="333333"/>
        </w:rPr>
        <w:t>付产品</w:t>
      </w:r>
      <w:proofErr w:type="gramEnd"/>
      <w:r w:rsidRPr="004064FA">
        <w:rPr>
          <w:color w:val="333333"/>
        </w:rPr>
        <w:t>账户价值并扣除对应的递延税款，同时按照产品账户价值的5%额外给付保险金。参保人年满60周岁后且未开始领取养老年金时发生全残或身故的，保险公司一次性给</w:t>
      </w:r>
      <w:proofErr w:type="gramStart"/>
      <w:r w:rsidRPr="004064FA">
        <w:rPr>
          <w:color w:val="333333"/>
        </w:rPr>
        <w:t>付产品</w:t>
      </w:r>
      <w:proofErr w:type="gramEnd"/>
      <w:r w:rsidRPr="004064FA">
        <w:rPr>
          <w:color w:val="333333"/>
        </w:rPr>
        <w:t>账户价值并扣除对应的递延税款。</w:t>
      </w:r>
    </w:p>
    <w:p w14:paraId="7C71F1AE" w14:textId="0D95ED58"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（八）领取方式。</w:t>
      </w:r>
    </w:p>
    <w:p w14:paraId="3A51ABF4" w14:textId="4BBF0AFB"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保险公司按照精算平衡原理，向参保人提供终身领取、领取期限不少于15年的长期领取等领取方式，并确定相应的养老年金领取金额。参保人可在开始领取养老年金前申请变更养老年金领取方式。</w:t>
      </w:r>
    </w:p>
    <w:p w14:paraId="6A3E8056" w14:textId="7B1519FE"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保险公司应至少提供保证返还账户价值</w:t>
      </w:r>
      <w:proofErr w:type="gramStart"/>
      <w:r w:rsidRPr="004064FA">
        <w:rPr>
          <w:color w:val="333333"/>
        </w:rPr>
        <w:t>终身月</w:t>
      </w:r>
      <w:proofErr w:type="gramEnd"/>
      <w:r w:rsidRPr="004064FA">
        <w:rPr>
          <w:color w:val="333333"/>
        </w:rPr>
        <w:t>领(或年领)的养老年金领取方式。除此之外，保险公司还可提供固定期限15（或20）年月领(或年领)等其他领取方式。</w:t>
      </w:r>
    </w:p>
    <w:p w14:paraId="7ACE5521" w14:textId="73932B2B"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1．保证返还账户价值</w:t>
      </w:r>
      <w:proofErr w:type="gramStart"/>
      <w:r w:rsidRPr="004064FA">
        <w:rPr>
          <w:color w:val="333333"/>
        </w:rPr>
        <w:t>终身月</w:t>
      </w:r>
      <w:proofErr w:type="gramEnd"/>
      <w:r w:rsidRPr="004064FA">
        <w:rPr>
          <w:color w:val="333333"/>
        </w:rPr>
        <w:t>领（或年领）。</w:t>
      </w:r>
    </w:p>
    <w:p w14:paraId="58A4D6C9" w14:textId="6FEC013C"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lastRenderedPageBreak/>
        <w:t>在养老年金开始领取日及其后每月（或每年）的对应日，如参保人生存，保险公司按固定标准给付养老年金，直至参保人身故。如参保人身故时，保险公司已给付的养老年金总和小于养老年金开始领取日的产品账户价值，保险公司按养老年金开始领取日的产品账户价值与已给付的养老年金总和的差额，一次性给付养老年金，保险合同终止。</w:t>
      </w:r>
    </w:p>
    <w:p w14:paraId="46D0CA57" w14:textId="4BF85B4C"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2．固定期限15（或20）年月领（或年领）。</w:t>
      </w:r>
    </w:p>
    <w:p w14:paraId="52EF45F8" w14:textId="11D3603C"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在养老年金开始领取日及其后每月（或每年）的对应日，如参保人生存，保险公司按固定标准给付养老年金，直至固定领取期限届满；如参保人在固定领取期限届满前身故，保险公司按固定领取期内尚未给付的养老年金之和，一次性给付养老年金，保险合同终止。</w:t>
      </w:r>
    </w:p>
    <w:p w14:paraId="405C172E" w14:textId="751F874E"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（九）费用收取。</w:t>
      </w:r>
    </w:p>
    <w:p w14:paraId="27F2229E" w14:textId="5596AD4D"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保险公司可向参保人收取的费用包括初始费、资产管理费和产品转换费。保险公司应当向参保人明示收取的费用项目和费用水平，并在保险合同中载明。费用收取应体现让利客户原则，确保清晰透明、水平合理。</w:t>
      </w:r>
    </w:p>
    <w:p w14:paraId="0F26D840" w14:textId="10834774"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1.初始费：是指保险公司按照参保人每笔交纳保险费的一定比例收取的费用。A、B、C类产品可收取初始费用，其中，A、B类产品收取比例不超过2%，C类产品收取比例不超过1%。</w:t>
      </w:r>
    </w:p>
    <w:p w14:paraId="6042C259" w14:textId="1758F6DF"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2.资产管理费：是指保险公司</w:t>
      </w:r>
      <w:proofErr w:type="gramStart"/>
      <w:r w:rsidRPr="004064FA">
        <w:rPr>
          <w:color w:val="333333"/>
        </w:rPr>
        <w:t>按照税延</w:t>
      </w:r>
      <w:proofErr w:type="gramEnd"/>
      <w:r w:rsidRPr="004064FA">
        <w:rPr>
          <w:color w:val="333333"/>
        </w:rPr>
        <w:t>养老保险产品投资账户资产净值的一定比例收取的费用。C类产品可收取资产管理费，收取比例不超过1%。</w:t>
      </w:r>
    </w:p>
    <w:p w14:paraId="7C26CBE3" w14:textId="4B0398A9"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3.产品转换费：是指保险公司按照参保人转出的产品账户价值的一定比例收取的费用。A、B、C三类产品发生转换时，可收取产品转换费，公司内部产</w:t>
      </w:r>
      <w:r w:rsidRPr="004064FA">
        <w:rPr>
          <w:color w:val="333333"/>
        </w:rPr>
        <w:lastRenderedPageBreak/>
        <w:t>品转换时，每次收取比例不高于0.5%；跨公司产品转换时，前三个保单年度的收取比例依次不超过3%、2%、1%，第四个保单年度起不再收取。</w:t>
      </w:r>
    </w:p>
    <w:p w14:paraId="7768B175" w14:textId="64046874"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三、产品管理</w:t>
      </w:r>
    </w:p>
    <w:p w14:paraId="066CC839" w14:textId="18281AE9"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（一）投保管理。</w:t>
      </w:r>
    </w:p>
    <w:p w14:paraId="1649E9C8" w14:textId="559D1E48"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保险公司应当为参保人开具发票和保险凭证，载明税延养老保险产品名称和交费金额等信息。</w:t>
      </w:r>
    </w:p>
    <w:p w14:paraId="2C9A648A" w14:textId="079F8E7F"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（二）承保管理。</w:t>
      </w:r>
    </w:p>
    <w:p w14:paraId="3A0FD587" w14:textId="0F2A458D"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保险公司应当通过中国保险信息技术管理有限责任公司个人税收</w:t>
      </w:r>
      <w:proofErr w:type="gramStart"/>
      <w:r w:rsidRPr="004064FA">
        <w:rPr>
          <w:color w:val="333333"/>
        </w:rPr>
        <w:t>递延型商业</w:t>
      </w:r>
      <w:proofErr w:type="gramEnd"/>
      <w:r w:rsidRPr="004064FA">
        <w:rPr>
          <w:color w:val="333333"/>
        </w:rPr>
        <w:t>养老保险信息平台（以下简称中保信平台），对参保人身份等信息进行验证，符合条件方可承保。</w:t>
      </w:r>
    </w:p>
    <w:p w14:paraId="0C7F7C41" w14:textId="63BAFA87"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（三）退保管理。</w:t>
      </w:r>
    </w:p>
    <w:p w14:paraId="11CE85C9" w14:textId="1729F1C0"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参保人发生以下情形，可以申请退保，保险公司按照保险合同约定一次性给</w:t>
      </w:r>
      <w:proofErr w:type="gramStart"/>
      <w:r w:rsidRPr="004064FA">
        <w:rPr>
          <w:color w:val="333333"/>
        </w:rPr>
        <w:t>付产品</w:t>
      </w:r>
      <w:proofErr w:type="gramEnd"/>
      <w:r w:rsidRPr="004064FA">
        <w:rPr>
          <w:color w:val="333333"/>
        </w:rPr>
        <w:t>账户价值并扣除对应的递延税款。</w:t>
      </w:r>
    </w:p>
    <w:p w14:paraId="3AEF1E07" w14:textId="3F2C0B06"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1.在开始领取养老年金前，因保险合同约定的责任免除事项导致全残或身故;</w:t>
      </w:r>
    </w:p>
    <w:p w14:paraId="025FBA41" w14:textId="17AFA878"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w:t>
      </w:r>
      <w:proofErr w:type="gramStart"/>
      <w:r w:rsidRPr="004064FA">
        <w:rPr>
          <w:color w:val="333333"/>
        </w:rPr>
        <w:t>患保险</w:t>
      </w:r>
      <w:proofErr w:type="gramEnd"/>
      <w:r w:rsidRPr="004064FA">
        <w:rPr>
          <w:color w:val="333333"/>
        </w:rPr>
        <w:t>合同约定的重大疾病。</w:t>
      </w:r>
    </w:p>
    <w:p w14:paraId="2D78FC92" w14:textId="48DEBB6A"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（四）产品转换。</w:t>
      </w:r>
    </w:p>
    <w:p w14:paraId="157E4649" w14:textId="23C8B7B6"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1.参保人在开始领取养老年金前，可进行产品转换，包括同一保险公司内的产品转换，或跨保险公司的产品转换。</w:t>
      </w:r>
    </w:p>
    <w:p w14:paraId="285B0F73" w14:textId="663C91AA"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2.同一保险公司内的产品转换，</w:t>
      </w:r>
      <w:proofErr w:type="gramStart"/>
      <w:r w:rsidRPr="004064FA">
        <w:rPr>
          <w:color w:val="333333"/>
        </w:rPr>
        <w:t>是指参保人</w:t>
      </w:r>
      <w:proofErr w:type="gramEnd"/>
      <w:r w:rsidRPr="004064FA">
        <w:rPr>
          <w:color w:val="333333"/>
        </w:rPr>
        <w:t>将一类产品的产品账户价值转移至同一保险公司的其他类产品。跨保险公司的产品转换，</w:t>
      </w:r>
      <w:proofErr w:type="gramStart"/>
      <w:r w:rsidRPr="004064FA">
        <w:rPr>
          <w:color w:val="333333"/>
        </w:rPr>
        <w:t>是指参保人</w:t>
      </w:r>
      <w:proofErr w:type="gramEnd"/>
      <w:r w:rsidRPr="004064FA">
        <w:rPr>
          <w:color w:val="333333"/>
        </w:rPr>
        <w:t>将当前</w:t>
      </w:r>
      <w:r w:rsidRPr="004064FA">
        <w:rPr>
          <w:color w:val="333333"/>
        </w:rPr>
        <w:lastRenderedPageBreak/>
        <w:t>保险公司</w:t>
      </w:r>
      <w:proofErr w:type="gramStart"/>
      <w:r w:rsidRPr="004064FA">
        <w:rPr>
          <w:color w:val="333333"/>
        </w:rPr>
        <w:t>的税延养老</w:t>
      </w:r>
      <w:proofErr w:type="gramEnd"/>
      <w:r w:rsidRPr="004064FA">
        <w:rPr>
          <w:color w:val="333333"/>
        </w:rPr>
        <w:t>保险产品账户价值转移至另一保险公司</w:t>
      </w:r>
      <w:proofErr w:type="gramStart"/>
      <w:r w:rsidRPr="004064FA">
        <w:rPr>
          <w:color w:val="333333"/>
        </w:rPr>
        <w:t>的税延养老</w:t>
      </w:r>
      <w:proofErr w:type="gramEnd"/>
      <w:r w:rsidRPr="004064FA">
        <w:rPr>
          <w:color w:val="333333"/>
        </w:rPr>
        <w:t>保险产品。</w:t>
      </w:r>
    </w:p>
    <w:p w14:paraId="486C79B5" w14:textId="3CAD0AB6"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3.对于参保人进行跨保险公司产品转换的，由本人向保险公司申请。</w:t>
      </w:r>
    </w:p>
    <w:p w14:paraId="0485E0CF" w14:textId="5580CDCB"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4.保险公司发生产品转换操作时，应当及时向中保信平台提交有关信息，跨保险公司的产品转换应当通过中保信平台完成有关操作。</w:t>
      </w:r>
    </w:p>
    <w:p w14:paraId="1F0E26B0" w14:textId="4963D13E"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5.试点结束后，对于参保人提出转换为其他金融产品的要求，保险公司应</w:t>
      </w:r>
      <w:proofErr w:type="gramStart"/>
      <w:r w:rsidRPr="004064FA">
        <w:rPr>
          <w:color w:val="333333"/>
        </w:rPr>
        <w:t>予支</w:t>
      </w:r>
      <w:proofErr w:type="gramEnd"/>
      <w:r w:rsidRPr="004064FA">
        <w:rPr>
          <w:color w:val="333333"/>
        </w:rPr>
        <w:t>持。</w:t>
      </w:r>
    </w:p>
    <w:p w14:paraId="7CEEFE55" w14:textId="155F11F7"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（五）精算评估。</w:t>
      </w:r>
    </w:p>
    <w:p w14:paraId="779FFF42" w14:textId="7B40ED6B"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保险公司应当遵循“公平、合理、审慎”原则，根据精算原理和有关保险监管规定，</w:t>
      </w:r>
      <w:proofErr w:type="gramStart"/>
      <w:r w:rsidRPr="004064FA">
        <w:rPr>
          <w:color w:val="333333"/>
        </w:rPr>
        <w:t>对税延养老</w:t>
      </w:r>
      <w:proofErr w:type="gramEnd"/>
      <w:r w:rsidRPr="004064FA">
        <w:rPr>
          <w:color w:val="333333"/>
        </w:rPr>
        <w:t>保险产品计提各项准备金，并定期进行充足性测试。</w:t>
      </w:r>
    </w:p>
    <w:p w14:paraId="501074E5" w14:textId="04E12706" w:rsidR="00A81C73" w:rsidRPr="004064FA" w:rsidRDefault="00A81C73" w:rsidP="004064FA">
      <w:pPr>
        <w:pStyle w:val="a3"/>
        <w:spacing w:before="0" w:beforeAutospacing="0" w:after="0" w:afterAutospacing="0" w:line="480" w:lineRule="auto"/>
        <w:ind w:firstLineChars="200" w:firstLine="482"/>
        <w:rPr>
          <w:color w:val="333333"/>
        </w:rPr>
      </w:pPr>
      <w:r w:rsidRPr="004064FA">
        <w:rPr>
          <w:rStyle w:val="a4"/>
          <w:color w:val="333333"/>
        </w:rPr>
        <w:t>四、名词释义</w:t>
      </w:r>
    </w:p>
    <w:p w14:paraId="22616104" w14:textId="4CA2BC1D"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1.养老年金。</w:t>
      </w:r>
    </w:p>
    <w:p w14:paraId="0CD3988B" w14:textId="1A178173"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根据《人身保险公司保险条款和保险费率管理办法（2015年修订）》（保监会令〔2015〕3号）规定，养老年金保险是指以养老保障为目的的年金保险。养老年金保险应当符合下列条件：</w:t>
      </w:r>
    </w:p>
    <w:p w14:paraId="2C8FC7EA" w14:textId="12CDD53F"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（1）保险合同约定给付被保险人生存保险金的年龄不得小于国家规定退休年龄；</w:t>
      </w:r>
    </w:p>
    <w:p w14:paraId="22F5376C" w14:textId="7D7A9BC3"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（2）相邻两次给付的时间间隔不得超过一年。</w:t>
      </w:r>
    </w:p>
    <w:p w14:paraId="345BF4CA" w14:textId="63B68BC9"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2.国家规定退休年龄。</w:t>
      </w:r>
    </w:p>
    <w:p w14:paraId="46CAB8F5" w14:textId="6D1D9946"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指国家法律规定的正常退休年龄，参保人实际办理退休时的年龄小于国家规定退休年龄的，以实际退休年龄为准。退休年龄应为周岁年龄，周岁年龄以法定有效身份证件中记载的出生日期为计算基础。</w:t>
      </w:r>
    </w:p>
    <w:p w14:paraId="6A266518" w14:textId="238E0AEB"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lastRenderedPageBreak/>
        <w:t>3.产品账户价值。</w:t>
      </w:r>
    </w:p>
    <w:p w14:paraId="5E013E9B" w14:textId="1B458FD9"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指在产品</w:t>
      </w:r>
      <w:proofErr w:type="gramStart"/>
      <w:r w:rsidRPr="004064FA">
        <w:rPr>
          <w:color w:val="333333"/>
        </w:rPr>
        <w:t>积累期参保人</w:t>
      </w:r>
      <w:proofErr w:type="gramEnd"/>
      <w:r w:rsidRPr="004064FA">
        <w:rPr>
          <w:color w:val="333333"/>
        </w:rPr>
        <w:t>所交纳的保险费与养老资金收益之和扣减相关费用后的余额。</w:t>
      </w:r>
    </w:p>
    <w:p w14:paraId="70CBA7EF" w14:textId="56AC2D54"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4.全残。</w:t>
      </w:r>
    </w:p>
    <w:p w14:paraId="4FF65DAE" w14:textId="2653E3E2"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指下列情形之一：</w:t>
      </w:r>
    </w:p>
    <w:p w14:paraId="3974BEBE" w14:textId="7B5A0BF2"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（1）双目永久完全失明；</w:t>
      </w:r>
    </w:p>
    <w:p w14:paraId="4EC65364" w14:textId="4889419E"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（2）两上肢腕关节以上或两下肢踝关节以上缺失；</w:t>
      </w:r>
    </w:p>
    <w:p w14:paraId="297A1166" w14:textId="54A72A3B"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（3）</w:t>
      </w:r>
      <w:proofErr w:type="gramStart"/>
      <w:r w:rsidRPr="004064FA">
        <w:rPr>
          <w:color w:val="333333"/>
        </w:rPr>
        <w:t>一</w:t>
      </w:r>
      <w:proofErr w:type="gramEnd"/>
      <w:r w:rsidRPr="004064FA">
        <w:rPr>
          <w:color w:val="333333"/>
        </w:rPr>
        <w:t>上肢腕关节以上及</w:t>
      </w:r>
      <w:proofErr w:type="gramStart"/>
      <w:r w:rsidRPr="004064FA">
        <w:rPr>
          <w:color w:val="333333"/>
        </w:rPr>
        <w:t>一</w:t>
      </w:r>
      <w:proofErr w:type="gramEnd"/>
      <w:r w:rsidRPr="004064FA">
        <w:rPr>
          <w:color w:val="333333"/>
        </w:rPr>
        <w:t>下肢踝关节以上缺失；</w:t>
      </w:r>
    </w:p>
    <w:p w14:paraId="4AFA4960" w14:textId="2C0BFF7D"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（4）</w:t>
      </w:r>
      <w:proofErr w:type="gramStart"/>
      <w:r w:rsidRPr="004064FA">
        <w:rPr>
          <w:color w:val="333333"/>
        </w:rPr>
        <w:t>一</w:t>
      </w:r>
      <w:proofErr w:type="gramEnd"/>
      <w:r w:rsidRPr="004064FA">
        <w:rPr>
          <w:color w:val="333333"/>
        </w:rPr>
        <w:t>目永久完全失明及</w:t>
      </w:r>
      <w:proofErr w:type="gramStart"/>
      <w:r w:rsidRPr="004064FA">
        <w:rPr>
          <w:color w:val="333333"/>
        </w:rPr>
        <w:t>一</w:t>
      </w:r>
      <w:proofErr w:type="gramEnd"/>
      <w:r w:rsidRPr="004064FA">
        <w:rPr>
          <w:color w:val="333333"/>
        </w:rPr>
        <w:t>上肢腕关节以上缺失；</w:t>
      </w:r>
    </w:p>
    <w:p w14:paraId="7EDDC11C" w14:textId="63552105"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（5）</w:t>
      </w:r>
      <w:proofErr w:type="gramStart"/>
      <w:r w:rsidRPr="004064FA">
        <w:rPr>
          <w:color w:val="333333"/>
        </w:rPr>
        <w:t>一</w:t>
      </w:r>
      <w:proofErr w:type="gramEnd"/>
      <w:r w:rsidRPr="004064FA">
        <w:rPr>
          <w:color w:val="333333"/>
        </w:rPr>
        <w:t>目永久完全失明及</w:t>
      </w:r>
      <w:proofErr w:type="gramStart"/>
      <w:r w:rsidRPr="004064FA">
        <w:rPr>
          <w:color w:val="333333"/>
        </w:rPr>
        <w:t>一</w:t>
      </w:r>
      <w:proofErr w:type="gramEnd"/>
      <w:r w:rsidRPr="004064FA">
        <w:rPr>
          <w:color w:val="333333"/>
        </w:rPr>
        <w:t>下肢踝关节以上缺失；</w:t>
      </w:r>
    </w:p>
    <w:p w14:paraId="1C465C30" w14:textId="53E0A903"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（6）四肢关节机能永久完全丧失；</w:t>
      </w:r>
    </w:p>
    <w:p w14:paraId="524B7195" w14:textId="6CC0BD04"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（7）咀嚼、吞咽机能永久完全丧失；</w:t>
      </w:r>
    </w:p>
    <w:p w14:paraId="33513A4B" w14:textId="392035FE"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（8）中枢神经系统机能或胸、腹部脏器机能极度障碍，导致终身不能从事任何工作，为维持生命必要的日常生活活动，全需他人扶助的。</w:t>
      </w:r>
    </w:p>
    <w:p w14:paraId="4E362EEE" w14:textId="23C42EB6"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失明：包括眼球缺失或摘除、或不能辨别明暗、或仅能辨别眼前手动者，最佳矫正视力低于国际标准视力表0.02，或视野半径小于5度，且病程持续超过180天（眼球缺失或摘除不在此限），并由保险公司认可鉴定机构出具鉴定书。</w:t>
      </w:r>
    </w:p>
    <w:p w14:paraId="0FB33894" w14:textId="3840C300"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关节机能的丧失：指关节永久完全僵硬、或麻痹、或关节不能随意识活动。</w:t>
      </w:r>
    </w:p>
    <w:p w14:paraId="698E509E" w14:textId="2785AA66"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咀嚼、吞咽机能的丧失：指由于牙齿以外的原因引起器质障碍或机能障碍，以至不能做咀嚼、吞咽运动，除流质食物外不能摄取或吞咽的状态。</w:t>
      </w:r>
    </w:p>
    <w:p w14:paraId="13B7A8D9" w14:textId="4DE6C4E6"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lastRenderedPageBreak/>
        <w:t>为维持生命必要的日常生活活动，全需他人扶助：指食物摄取、大小便始末、穿脱衣服、起居、步行、入浴等，皆</w:t>
      </w:r>
      <w:proofErr w:type="gramStart"/>
      <w:r w:rsidRPr="004064FA">
        <w:rPr>
          <w:color w:val="333333"/>
        </w:rPr>
        <w:t>不能自己</w:t>
      </w:r>
      <w:proofErr w:type="gramEnd"/>
      <w:r w:rsidRPr="004064FA">
        <w:rPr>
          <w:color w:val="333333"/>
        </w:rPr>
        <w:t>为之，需要他人帮助。</w:t>
      </w:r>
    </w:p>
    <w:p w14:paraId="07D55272" w14:textId="291C8E16"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5.重大疾病。</w:t>
      </w:r>
    </w:p>
    <w:p w14:paraId="1DC88914" w14:textId="4783B65C"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指中国保险行业协会颁布的《重大疾病保险的疾病定义使用规范》（</w:t>
      </w:r>
      <w:proofErr w:type="gramStart"/>
      <w:r w:rsidRPr="004064FA">
        <w:rPr>
          <w:color w:val="333333"/>
        </w:rPr>
        <w:t>中保协寿〔2007〕</w:t>
      </w:r>
      <w:proofErr w:type="gramEnd"/>
      <w:r w:rsidRPr="004064FA">
        <w:rPr>
          <w:color w:val="333333"/>
        </w:rPr>
        <w:t>9号）规定的25种重大疾病，以及疾病名称和疾病定义。</w:t>
      </w:r>
    </w:p>
    <w:p w14:paraId="313F7771" w14:textId="22F7D57E" w:rsidR="00A81C73" w:rsidRPr="004064FA" w:rsidRDefault="00A81C73" w:rsidP="004064FA">
      <w:pPr>
        <w:pStyle w:val="a3"/>
        <w:spacing w:before="0" w:beforeAutospacing="0" w:after="0" w:afterAutospacing="0" w:line="480" w:lineRule="auto"/>
        <w:ind w:firstLineChars="200" w:firstLine="480"/>
        <w:rPr>
          <w:color w:val="333333"/>
        </w:rPr>
      </w:pPr>
      <w:r w:rsidRPr="004064FA">
        <w:rPr>
          <w:color w:val="333333"/>
        </w:rPr>
        <w:t>如中国保险行业协会重新修订或颁布重大疾病保险的疾病定义等内容，按重新修订或颁布的内容执行。</w:t>
      </w:r>
    </w:p>
    <w:p w14:paraId="2A3570C3" w14:textId="77777777" w:rsidR="002D7087" w:rsidRPr="004064FA" w:rsidRDefault="002D7087" w:rsidP="004064FA">
      <w:pPr>
        <w:spacing w:line="480" w:lineRule="auto"/>
        <w:ind w:firstLine="200"/>
        <w:jc w:val="left"/>
        <w:rPr>
          <w:rFonts w:ascii="宋体" w:eastAsia="宋体" w:hAnsi="宋体" w:hint="eastAsia"/>
          <w:sz w:val="24"/>
          <w:szCs w:val="24"/>
        </w:rPr>
      </w:pPr>
    </w:p>
    <w:p w14:paraId="41CF94F7" w14:textId="77777777" w:rsidR="004064FA" w:rsidRPr="004064FA" w:rsidRDefault="004064FA">
      <w:pPr>
        <w:spacing w:line="480" w:lineRule="auto"/>
        <w:ind w:firstLine="200"/>
        <w:jc w:val="left"/>
        <w:rPr>
          <w:rFonts w:ascii="宋体" w:eastAsia="宋体" w:hAnsi="宋体"/>
          <w:sz w:val="24"/>
          <w:szCs w:val="24"/>
        </w:rPr>
      </w:pPr>
    </w:p>
    <w:sectPr w:rsidR="004064FA" w:rsidRPr="00406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EB"/>
    <w:rsid w:val="002D7087"/>
    <w:rsid w:val="00325AEB"/>
    <w:rsid w:val="003362CE"/>
    <w:rsid w:val="004064FA"/>
    <w:rsid w:val="00A81C73"/>
    <w:rsid w:val="00BE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C61F"/>
  <w15:chartTrackingRefBased/>
  <w15:docId w15:val="{FE5510FB-F828-4F81-B947-673E7A2A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35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1877">
      <w:bodyDiv w:val="1"/>
      <w:marLeft w:val="0"/>
      <w:marRight w:val="0"/>
      <w:marTop w:val="0"/>
      <w:marBottom w:val="0"/>
      <w:divBdr>
        <w:top w:val="none" w:sz="0" w:space="0" w:color="auto"/>
        <w:left w:val="none" w:sz="0" w:space="0" w:color="auto"/>
        <w:bottom w:val="none" w:sz="0" w:space="0" w:color="auto"/>
        <w:right w:val="none" w:sz="0" w:space="0" w:color="auto"/>
      </w:divBdr>
    </w:div>
    <w:div w:id="68356579">
      <w:bodyDiv w:val="1"/>
      <w:marLeft w:val="0"/>
      <w:marRight w:val="0"/>
      <w:marTop w:val="0"/>
      <w:marBottom w:val="0"/>
      <w:divBdr>
        <w:top w:val="none" w:sz="0" w:space="0" w:color="auto"/>
        <w:left w:val="none" w:sz="0" w:space="0" w:color="auto"/>
        <w:bottom w:val="none" w:sz="0" w:space="0" w:color="auto"/>
        <w:right w:val="none" w:sz="0" w:space="0" w:color="auto"/>
      </w:divBdr>
    </w:div>
    <w:div w:id="120421662">
      <w:bodyDiv w:val="1"/>
      <w:marLeft w:val="0"/>
      <w:marRight w:val="0"/>
      <w:marTop w:val="0"/>
      <w:marBottom w:val="0"/>
      <w:divBdr>
        <w:top w:val="none" w:sz="0" w:space="0" w:color="auto"/>
        <w:left w:val="none" w:sz="0" w:space="0" w:color="auto"/>
        <w:bottom w:val="none" w:sz="0" w:space="0" w:color="auto"/>
        <w:right w:val="none" w:sz="0" w:space="0" w:color="auto"/>
      </w:divBdr>
    </w:div>
    <w:div w:id="570042038">
      <w:bodyDiv w:val="1"/>
      <w:marLeft w:val="0"/>
      <w:marRight w:val="0"/>
      <w:marTop w:val="0"/>
      <w:marBottom w:val="0"/>
      <w:divBdr>
        <w:top w:val="none" w:sz="0" w:space="0" w:color="auto"/>
        <w:left w:val="none" w:sz="0" w:space="0" w:color="auto"/>
        <w:bottom w:val="none" w:sz="0" w:space="0" w:color="auto"/>
        <w:right w:val="none" w:sz="0" w:space="0" w:color="auto"/>
      </w:divBdr>
    </w:div>
    <w:div w:id="694696118">
      <w:bodyDiv w:val="1"/>
      <w:marLeft w:val="0"/>
      <w:marRight w:val="0"/>
      <w:marTop w:val="0"/>
      <w:marBottom w:val="0"/>
      <w:divBdr>
        <w:top w:val="none" w:sz="0" w:space="0" w:color="auto"/>
        <w:left w:val="none" w:sz="0" w:space="0" w:color="auto"/>
        <w:bottom w:val="none" w:sz="0" w:space="0" w:color="auto"/>
        <w:right w:val="none" w:sz="0" w:space="0" w:color="auto"/>
      </w:divBdr>
    </w:div>
    <w:div w:id="800852007">
      <w:bodyDiv w:val="1"/>
      <w:marLeft w:val="0"/>
      <w:marRight w:val="0"/>
      <w:marTop w:val="0"/>
      <w:marBottom w:val="0"/>
      <w:divBdr>
        <w:top w:val="none" w:sz="0" w:space="0" w:color="auto"/>
        <w:left w:val="none" w:sz="0" w:space="0" w:color="auto"/>
        <w:bottom w:val="none" w:sz="0" w:space="0" w:color="auto"/>
        <w:right w:val="none" w:sz="0" w:space="0" w:color="auto"/>
      </w:divBdr>
    </w:div>
    <w:div w:id="846359106">
      <w:bodyDiv w:val="1"/>
      <w:marLeft w:val="0"/>
      <w:marRight w:val="0"/>
      <w:marTop w:val="0"/>
      <w:marBottom w:val="0"/>
      <w:divBdr>
        <w:top w:val="none" w:sz="0" w:space="0" w:color="auto"/>
        <w:left w:val="none" w:sz="0" w:space="0" w:color="auto"/>
        <w:bottom w:val="none" w:sz="0" w:space="0" w:color="auto"/>
        <w:right w:val="none" w:sz="0" w:space="0" w:color="auto"/>
      </w:divBdr>
    </w:div>
    <w:div w:id="1110079879">
      <w:bodyDiv w:val="1"/>
      <w:marLeft w:val="0"/>
      <w:marRight w:val="0"/>
      <w:marTop w:val="0"/>
      <w:marBottom w:val="0"/>
      <w:divBdr>
        <w:top w:val="none" w:sz="0" w:space="0" w:color="auto"/>
        <w:left w:val="none" w:sz="0" w:space="0" w:color="auto"/>
        <w:bottom w:val="none" w:sz="0" w:space="0" w:color="auto"/>
        <w:right w:val="none" w:sz="0" w:space="0" w:color="auto"/>
      </w:divBdr>
    </w:div>
    <w:div w:id="1238780881">
      <w:bodyDiv w:val="1"/>
      <w:marLeft w:val="0"/>
      <w:marRight w:val="0"/>
      <w:marTop w:val="0"/>
      <w:marBottom w:val="0"/>
      <w:divBdr>
        <w:top w:val="none" w:sz="0" w:space="0" w:color="auto"/>
        <w:left w:val="none" w:sz="0" w:space="0" w:color="auto"/>
        <w:bottom w:val="none" w:sz="0" w:space="0" w:color="auto"/>
        <w:right w:val="none" w:sz="0" w:space="0" w:color="auto"/>
      </w:divBdr>
    </w:div>
    <w:div w:id="1313753284">
      <w:bodyDiv w:val="1"/>
      <w:marLeft w:val="0"/>
      <w:marRight w:val="0"/>
      <w:marTop w:val="0"/>
      <w:marBottom w:val="0"/>
      <w:divBdr>
        <w:top w:val="none" w:sz="0" w:space="0" w:color="auto"/>
        <w:left w:val="none" w:sz="0" w:space="0" w:color="auto"/>
        <w:bottom w:val="none" w:sz="0" w:space="0" w:color="auto"/>
        <w:right w:val="none" w:sz="0" w:space="0" w:color="auto"/>
      </w:divBdr>
    </w:div>
    <w:div w:id="1349715313">
      <w:bodyDiv w:val="1"/>
      <w:marLeft w:val="0"/>
      <w:marRight w:val="0"/>
      <w:marTop w:val="0"/>
      <w:marBottom w:val="0"/>
      <w:divBdr>
        <w:top w:val="none" w:sz="0" w:space="0" w:color="auto"/>
        <w:left w:val="none" w:sz="0" w:space="0" w:color="auto"/>
        <w:bottom w:val="none" w:sz="0" w:space="0" w:color="auto"/>
        <w:right w:val="none" w:sz="0" w:space="0" w:color="auto"/>
      </w:divBdr>
    </w:div>
    <w:div w:id="1481192008">
      <w:bodyDiv w:val="1"/>
      <w:marLeft w:val="0"/>
      <w:marRight w:val="0"/>
      <w:marTop w:val="0"/>
      <w:marBottom w:val="0"/>
      <w:divBdr>
        <w:top w:val="none" w:sz="0" w:space="0" w:color="auto"/>
        <w:left w:val="none" w:sz="0" w:space="0" w:color="auto"/>
        <w:bottom w:val="none" w:sz="0" w:space="0" w:color="auto"/>
        <w:right w:val="none" w:sz="0" w:space="0" w:color="auto"/>
      </w:divBdr>
    </w:div>
    <w:div w:id="1543667199">
      <w:bodyDiv w:val="1"/>
      <w:marLeft w:val="0"/>
      <w:marRight w:val="0"/>
      <w:marTop w:val="0"/>
      <w:marBottom w:val="0"/>
      <w:divBdr>
        <w:top w:val="none" w:sz="0" w:space="0" w:color="auto"/>
        <w:left w:val="none" w:sz="0" w:space="0" w:color="auto"/>
        <w:bottom w:val="none" w:sz="0" w:space="0" w:color="auto"/>
        <w:right w:val="none" w:sz="0" w:space="0" w:color="auto"/>
      </w:divBdr>
    </w:div>
    <w:div w:id="1593271797">
      <w:bodyDiv w:val="1"/>
      <w:marLeft w:val="0"/>
      <w:marRight w:val="0"/>
      <w:marTop w:val="0"/>
      <w:marBottom w:val="0"/>
      <w:divBdr>
        <w:top w:val="none" w:sz="0" w:space="0" w:color="auto"/>
        <w:left w:val="none" w:sz="0" w:space="0" w:color="auto"/>
        <w:bottom w:val="none" w:sz="0" w:space="0" w:color="auto"/>
        <w:right w:val="none" w:sz="0" w:space="0" w:color="auto"/>
      </w:divBdr>
    </w:div>
    <w:div w:id="1957058656">
      <w:bodyDiv w:val="1"/>
      <w:marLeft w:val="0"/>
      <w:marRight w:val="0"/>
      <w:marTop w:val="0"/>
      <w:marBottom w:val="0"/>
      <w:divBdr>
        <w:top w:val="none" w:sz="0" w:space="0" w:color="auto"/>
        <w:left w:val="none" w:sz="0" w:space="0" w:color="auto"/>
        <w:bottom w:val="none" w:sz="0" w:space="0" w:color="auto"/>
        <w:right w:val="none" w:sz="0" w:space="0" w:color="auto"/>
      </w:divBdr>
    </w:div>
    <w:div w:id="209277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德杰</dc:creator>
  <cp:keywords/>
  <dc:description/>
  <cp:lastModifiedBy>徐 德杰</cp:lastModifiedBy>
  <cp:revision>2</cp:revision>
  <dcterms:created xsi:type="dcterms:W3CDTF">2018-07-11T16:34:00Z</dcterms:created>
  <dcterms:modified xsi:type="dcterms:W3CDTF">2018-07-11T16:34:00Z</dcterms:modified>
</cp:coreProperties>
</file>